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1D" w:rsidRDefault="00763FB2">
      <w:pPr>
        <w:pStyle w:val="Firstlineindent"/>
        <w:jc w:val="center"/>
        <w:rPr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bookmarkStart w:id="0" w:name="_GoBack"/>
      <w:r>
        <w:rPr>
          <w:b/>
          <w:bCs/>
          <w:sz w:val="28"/>
          <w:szCs w:val="28"/>
          <w:shd w:val="clear" w:color="auto" w:fill="FFFFFF"/>
        </w:rPr>
        <w:t>Обстановка с пожарами в районе на 07.04.2025</w:t>
      </w:r>
      <w:bookmarkEnd w:id="0"/>
    </w:p>
    <w:p w:rsidR="0072471D" w:rsidRDefault="0072471D">
      <w:pPr>
        <w:pStyle w:val="Firstlineindent"/>
        <w:jc w:val="center"/>
        <w:rPr>
          <w:b/>
          <w:bCs/>
          <w:sz w:val="18"/>
          <w:szCs w:val="18"/>
          <w:shd w:val="clear" w:color="auto" w:fill="FFFFFF"/>
        </w:rPr>
      </w:pPr>
    </w:p>
    <w:p w:rsidR="0072471D" w:rsidRDefault="00763FB2">
      <w:pPr>
        <w:pStyle w:val="Standard"/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  <w:shd w:val="clear" w:color="auto" w:fill="FFFFFF"/>
        </w:rPr>
        <w:t>За истекший период 202</w:t>
      </w:r>
      <w:r>
        <w:rPr>
          <w:rFonts w:ascii="Times New Roman" w:eastAsia="Times New Roman" w:hAnsi="Times New Roman" w:cs="Times New Roman"/>
          <w:kern w:val="0"/>
          <w:szCs w:val="28"/>
          <w:shd w:val="clear" w:color="auto" w:fill="FFFFFF"/>
        </w:rPr>
        <w:t>5</w:t>
      </w:r>
      <w:r>
        <w:rPr>
          <w:rFonts w:ascii="Times New Roman" w:hAnsi="Times New Roman"/>
          <w:szCs w:val="28"/>
          <w:shd w:val="clear" w:color="auto" w:fill="FFFFFF"/>
        </w:rPr>
        <w:t xml:space="preserve"> года обстановка с пожарами и последствиями от них в Рыбинском районе по сравнению с аналогичным периодом</w:t>
      </w:r>
      <w:r>
        <w:rPr>
          <w:rFonts w:ascii="Times New Roman" w:hAnsi="Times New Roman"/>
          <w:b/>
          <w:bCs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202</w:t>
      </w:r>
      <w:r>
        <w:rPr>
          <w:rFonts w:ascii="Times New Roman" w:eastAsia="Times New Roman" w:hAnsi="Times New Roman" w:cs="Times New Roman"/>
          <w:kern w:val="0"/>
          <w:szCs w:val="28"/>
          <w:shd w:val="clear" w:color="auto" w:fill="FFFFFF"/>
        </w:rPr>
        <w:t>4</w:t>
      </w:r>
      <w:r>
        <w:rPr>
          <w:rFonts w:ascii="Times New Roman" w:hAnsi="Times New Roman"/>
          <w:szCs w:val="28"/>
          <w:shd w:val="clear" w:color="auto" w:fill="FFFFFF"/>
        </w:rPr>
        <w:t xml:space="preserve"> года характеризовалась следующими основными показателями:</w:t>
      </w:r>
    </w:p>
    <w:p w:rsidR="0072471D" w:rsidRDefault="00763FB2">
      <w:pPr>
        <w:pStyle w:val="Standard"/>
        <w:ind w:firstLine="567"/>
        <w:jc w:val="both"/>
        <w:rPr>
          <w:szCs w:val="28"/>
        </w:rPr>
      </w:pPr>
      <w:r>
        <w:rPr>
          <w:rFonts w:ascii="Times New Roman" w:hAnsi="Times New Roman"/>
          <w:szCs w:val="28"/>
        </w:rPr>
        <w:t>зарегистрировано 33 (АППГ-27) сообщени</w:t>
      </w:r>
      <w:r>
        <w:rPr>
          <w:rFonts w:ascii="Times New Roman" w:eastAsia="Times New Roman" w:hAnsi="Times New Roman" w:cs="Times New Roman"/>
          <w:kern w:val="0"/>
          <w:szCs w:val="28"/>
        </w:rPr>
        <w:t>й</w:t>
      </w:r>
      <w:r>
        <w:rPr>
          <w:rFonts w:ascii="Times New Roman" w:hAnsi="Times New Roman"/>
          <w:szCs w:val="28"/>
        </w:rPr>
        <w:t xml:space="preserve"> о пожарах, увеличение на 6, из них: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 </w:t>
      </w:r>
      <w:r>
        <w:rPr>
          <w:rFonts w:ascii="Times New Roman" w:hAnsi="Times New Roman"/>
          <w:szCs w:val="28"/>
        </w:rPr>
        <w:t>объектах защиты – 20</w:t>
      </w:r>
      <w:r>
        <w:rPr>
          <w:rFonts w:ascii="Times New Roman" w:eastAsia="Times New Roman" w:hAnsi="Times New Roman" w:cs="Times New Roman"/>
          <w:kern w:val="0"/>
          <w:szCs w:val="28"/>
        </w:rPr>
        <w:t xml:space="preserve"> </w:t>
      </w:r>
      <w:r>
        <w:rPr>
          <w:rFonts w:ascii="Times New Roman" w:hAnsi="Times New Roman"/>
          <w:szCs w:val="28"/>
        </w:rPr>
        <w:t>(АППГ–</w:t>
      </w:r>
      <w:r>
        <w:rPr>
          <w:rFonts w:ascii="Times New Roman" w:eastAsia="Times New Roman" w:hAnsi="Times New Roman" w:cs="Times New Roman"/>
          <w:kern w:val="0"/>
          <w:szCs w:val="28"/>
        </w:rPr>
        <w:t>25</w:t>
      </w:r>
      <w:r>
        <w:rPr>
          <w:rFonts w:ascii="Times New Roman" w:hAnsi="Times New Roman"/>
          <w:szCs w:val="28"/>
        </w:rPr>
        <w:t>) пожаров, снижение на 5, горение мусора 5 (АППГ-2), увеличение в 2,5 раза, сухой растительности 8 (АППГ-</w:t>
      </w:r>
      <w:r>
        <w:rPr>
          <w:rFonts w:ascii="Times New Roman" w:eastAsia="Times New Roman" w:hAnsi="Times New Roman" w:cs="Times New Roman"/>
          <w:kern w:val="0"/>
          <w:szCs w:val="28"/>
        </w:rPr>
        <w:t>0</w:t>
      </w:r>
      <w:r>
        <w:rPr>
          <w:rFonts w:ascii="Times New Roman" w:hAnsi="Times New Roman"/>
          <w:szCs w:val="28"/>
        </w:rPr>
        <w:t>).</w:t>
      </w:r>
    </w:p>
    <w:p w:rsidR="0072471D" w:rsidRDefault="00763FB2">
      <w:pPr>
        <w:pStyle w:val="Standard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при пожарах </w:t>
      </w:r>
      <w:r>
        <w:rPr>
          <w:rFonts w:ascii="Times New Roman" w:eastAsia="Times New Roman" w:hAnsi="Times New Roman" w:cs="Times New Roman"/>
          <w:kern w:val="0"/>
          <w:szCs w:val="28"/>
        </w:rPr>
        <w:t>погибло 3 человек</w:t>
      </w:r>
      <w:r>
        <w:rPr>
          <w:rFonts w:ascii="Times New Roman" w:hAnsi="Times New Roman"/>
          <w:szCs w:val="28"/>
        </w:rPr>
        <w:t xml:space="preserve"> (АППГ – 0), из них: 1 ребенок (2013г.р.) травмировано на пожарах – </w:t>
      </w:r>
      <w:r>
        <w:rPr>
          <w:rFonts w:ascii="Times New Roman" w:eastAsia="Times New Roman" w:hAnsi="Times New Roman" w:cs="Times New Roman"/>
          <w:kern w:val="0"/>
          <w:szCs w:val="28"/>
        </w:rPr>
        <w:t>0</w:t>
      </w:r>
      <w:r>
        <w:rPr>
          <w:rFonts w:ascii="Times New Roman" w:hAnsi="Times New Roman"/>
          <w:szCs w:val="28"/>
        </w:rPr>
        <w:t xml:space="preserve"> (АППГ-6) человек,</w:t>
      </w:r>
      <w:r>
        <w:rPr>
          <w:rFonts w:ascii="Times New Roman" w:hAnsi="Times New Roman"/>
          <w:szCs w:val="28"/>
        </w:rPr>
        <w:t xml:space="preserve"> детей 0 (АППГ – </w:t>
      </w:r>
      <w:r>
        <w:rPr>
          <w:rFonts w:ascii="Times New Roman" w:eastAsia="Times New Roman" w:hAnsi="Times New Roman" w:cs="Times New Roman"/>
          <w:kern w:val="0"/>
          <w:szCs w:val="28"/>
        </w:rPr>
        <w:t>2</w:t>
      </w:r>
      <w:r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i/>
          <w:szCs w:val="28"/>
        </w:rPr>
        <w:t>.</w:t>
      </w:r>
    </w:p>
    <w:p w:rsidR="0072471D" w:rsidRDefault="00763FB2">
      <w:pPr>
        <w:pStyle w:val="Standard"/>
        <w:ind w:firstLine="567"/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-151200</wp:posOffset>
            </wp:positionH>
            <wp:positionV relativeFrom="paragraph">
              <wp:posOffset>88200</wp:posOffset>
            </wp:positionV>
            <wp:extent cx="6512400" cy="3664079"/>
            <wp:effectExtent l="0" t="0" r="0" b="0"/>
            <wp:wrapSquare wrapText="bothSides"/>
            <wp:docPr id="1" name="Объект2" descr="диаграм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72471D" w:rsidRDefault="00763FB2">
      <w:pPr>
        <w:pStyle w:val="Standard"/>
        <w:ind w:firstLine="567"/>
        <w:jc w:val="both"/>
      </w:pPr>
      <w:r>
        <w:rPr>
          <w:rFonts w:ascii="Times New Roman" w:eastAsia="Times New Roman" w:hAnsi="Times New Roman" w:cs="Times New Roman"/>
          <w:szCs w:val="20"/>
        </w:rPr>
        <w:t xml:space="preserve">В 02 апреля 2025 </w:t>
      </w:r>
      <w:r>
        <w:rPr>
          <w:rFonts w:ascii="Times New Roman" w:eastAsia="Times New Roman" w:hAnsi="Times New Roman" w:cs="Times New Roman"/>
          <w:szCs w:val="20"/>
        </w:rPr>
        <w:t xml:space="preserve">04:20 обнаружен пожар в частном жилом доме (г. Заозерный, ул. </w:t>
      </w:r>
      <w:proofErr w:type="gramStart"/>
      <w:r>
        <w:rPr>
          <w:rFonts w:ascii="Times New Roman" w:eastAsia="Times New Roman" w:hAnsi="Times New Roman" w:cs="Times New Roman"/>
          <w:szCs w:val="20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, 26) в результате которого погибли: хозяин дома мужчина </w:t>
      </w:r>
      <w:r>
        <w:rPr>
          <w:rFonts w:ascii="Times New Roman" w:eastAsia="Times New Roman" w:hAnsi="Times New Roman" w:cs="Times New Roman"/>
          <w:szCs w:val="20"/>
        </w:rPr>
        <w:t>1978 года рождения, брат хозяина дома м</w:t>
      </w:r>
      <w:r>
        <w:rPr>
          <w:rFonts w:ascii="Times New Roman" w:eastAsia="Times New Roman" w:hAnsi="Times New Roman" w:cs="Times New Roman"/>
          <w:szCs w:val="20"/>
        </w:rPr>
        <w:t>ужчина 1980 года рождения и сын</w:t>
      </w:r>
      <w:r>
        <w:rPr>
          <w:rFonts w:ascii="Times New Roman" w:eastAsia="Times New Roman" w:hAnsi="Times New Roman" w:cs="Times New Roman"/>
          <w:szCs w:val="20"/>
        </w:rPr>
        <w:t xml:space="preserve"> хозяина дома </w:t>
      </w:r>
      <w:r>
        <w:rPr>
          <w:rFonts w:ascii="Times New Roman" w:eastAsia="Times New Roman" w:hAnsi="Times New Roman" w:cs="Times New Roman"/>
          <w:szCs w:val="20"/>
        </w:rPr>
        <w:t>ма</w:t>
      </w:r>
      <w:r>
        <w:rPr>
          <w:rFonts w:ascii="Times New Roman" w:eastAsia="Times New Roman" w:hAnsi="Times New Roman" w:cs="Times New Roman"/>
          <w:szCs w:val="20"/>
        </w:rPr>
        <w:t>льчик 2013 года рождения</w:t>
      </w:r>
      <w:r>
        <w:rPr>
          <w:rFonts w:ascii="Times New Roman" w:eastAsia="Times New Roman" w:hAnsi="Times New Roman" w:cs="Times New Roman"/>
          <w:szCs w:val="20"/>
        </w:rPr>
        <w:t xml:space="preserve">. Брат и сын находились в гостях. Причина пожара устанавливается, основные версии неосторожность при курении и аварийная работа электрооборудования в доме. </w:t>
      </w:r>
      <w:r>
        <w:rPr>
          <w:rFonts w:ascii="Times New Roman" w:eastAsia="Times New Roman" w:hAnsi="Times New Roman" w:cs="Times New Roman"/>
          <w:b/>
          <w:bCs/>
          <w:szCs w:val="20"/>
        </w:rPr>
        <w:t xml:space="preserve">Дом был оборудован двумя АДПИ, которые были сняты до пожара. </w:t>
      </w:r>
      <w:r>
        <w:rPr>
          <w:rFonts w:ascii="Times New Roman" w:eastAsia="Times New Roman" w:hAnsi="Times New Roman" w:cs="Times New Roman"/>
          <w:szCs w:val="20"/>
        </w:rPr>
        <w:t>Возбуждено угол</w:t>
      </w:r>
      <w:r>
        <w:rPr>
          <w:rFonts w:ascii="Times New Roman" w:eastAsia="Times New Roman" w:hAnsi="Times New Roman" w:cs="Times New Roman"/>
          <w:szCs w:val="20"/>
        </w:rPr>
        <w:t>овное дело, ведется следствие.</w:t>
      </w:r>
    </w:p>
    <w:p w:rsidR="0072471D" w:rsidRDefault="00763FB2">
      <w:pPr>
        <w:pStyle w:val="Standard"/>
        <w:tabs>
          <w:tab w:val="left" w:pos="0"/>
        </w:tabs>
        <w:ind w:right="-83" w:firstLine="720"/>
        <w:jc w:val="both"/>
        <w:rPr>
          <w:rFonts w:ascii="Times New Roman" w:eastAsia="Calibri" w:hAnsi="Times New Roman"/>
          <w:szCs w:val="28"/>
          <w:lang w:eastAsia="ar-SA"/>
        </w:rPr>
      </w:pPr>
      <w:r>
        <w:rPr>
          <w:rFonts w:ascii="Times New Roman" w:eastAsia="Calibri" w:hAnsi="Times New Roman"/>
          <w:szCs w:val="28"/>
          <w:lang w:eastAsia="ar-SA"/>
        </w:rPr>
        <w:t xml:space="preserve">В 2025 году первый пожар сухой растительности в районе  зарегистрирован 22.03.2025 (п. Саянский), в 2024 году 28.04.2024 (п. </w:t>
      </w:r>
      <w:proofErr w:type="spellStart"/>
      <w:r>
        <w:rPr>
          <w:rFonts w:ascii="Times New Roman" w:eastAsia="Calibri" w:hAnsi="Times New Roman"/>
          <w:szCs w:val="28"/>
          <w:lang w:eastAsia="ar-SA"/>
        </w:rPr>
        <w:t>Ирша</w:t>
      </w:r>
      <w:proofErr w:type="spellEnd"/>
      <w:r>
        <w:rPr>
          <w:rFonts w:ascii="Times New Roman" w:eastAsia="Calibri" w:hAnsi="Times New Roman"/>
          <w:szCs w:val="28"/>
          <w:lang w:eastAsia="ar-SA"/>
        </w:rPr>
        <w:t>).</w:t>
      </w:r>
    </w:p>
    <w:p w:rsidR="0072471D" w:rsidRDefault="00763FB2">
      <w:pPr>
        <w:pStyle w:val="Standard"/>
        <w:tabs>
          <w:tab w:val="left" w:pos="0"/>
        </w:tabs>
        <w:ind w:right="-83" w:firstLine="720"/>
        <w:jc w:val="both"/>
        <w:rPr>
          <w:rFonts w:ascii="Times New Roman" w:eastAsia="Calibri" w:hAnsi="Times New Roman"/>
          <w:szCs w:val="28"/>
          <w:lang w:eastAsia="ar-SA"/>
        </w:rPr>
      </w:pPr>
      <w:r>
        <w:rPr>
          <w:rFonts w:ascii="Times New Roman" w:eastAsia="Calibri" w:hAnsi="Times New Roman"/>
          <w:szCs w:val="28"/>
          <w:lang w:eastAsia="ar-SA"/>
        </w:rPr>
        <w:t xml:space="preserve">За 05 апреля (суббота) в районе зарегистрировано 6 пожаров, в основном горение сухой </w:t>
      </w:r>
      <w:r>
        <w:rPr>
          <w:rFonts w:ascii="Times New Roman" w:eastAsia="Calibri" w:hAnsi="Times New Roman"/>
          <w:szCs w:val="28"/>
          <w:lang w:eastAsia="ar-SA"/>
        </w:rPr>
        <w:t>растительности и бесхозных строений.</w:t>
      </w:r>
    </w:p>
    <w:p w:rsidR="0072471D" w:rsidRDefault="0072471D">
      <w:pPr>
        <w:pStyle w:val="Textbodyindent"/>
        <w:ind w:left="-142" w:firstLine="426"/>
        <w:jc w:val="center"/>
        <w:rPr>
          <w:b/>
          <w:sz w:val="20"/>
          <w:szCs w:val="20"/>
        </w:rPr>
      </w:pPr>
    </w:p>
    <w:p w:rsidR="0072471D" w:rsidRDefault="00763FB2">
      <w:pPr>
        <w:pStyle w:val="Textbodyindent"/>
        <w:ind w:left="-142" w:firstLine="426"/>
        <w:jc w:val="center"/>
        <w:rPr>
          <w:b/>
          <w:szCs w:val="28"/>
        </w:rPr>
      </w:pPr>
      <w:r>
        <w:rPr>
          <w:b/>
          <w:szCs w:val="28"/>
        </w:rPr>
        <w:t>Анализ пожаров и их последствий в 5 летней динамике</w:t>
      </w:r>
    </w:p>
    <w:p w:rsidR="0072471D" w:rsidRDefault="0072471D">
      <w:pPr>
        <w:pStyle w:val="Textbodyindent"/>
        <w:ind w:left="-142" w:firstLine="426"/>
        <w:jc w:val="center"/>
        <w:rPr>
          <w:b/>
          <w:sz w:val="12"/>
          <w:szCs w:val="12"/>
        </w:rPr>
      </w:pPr>
    </w:p>
    <w:tbl>
      <w:tblPr>
        <w:tblW w:w="979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1115"/>
        <w:gridCol w:w="1058"/>
        <w:gridCol w:w="1015"/>
        <w:gridCol w:w="1059"/>
        <w:gridCol w:w="1058"/>
        <w:gridCol w:w="2334"/>
      </w:tblGrid>
      <w:tr w:rsidR="0072471D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b/>
                <w:szCs w:val="28"/>
                <w:shd w:val="clear" w:color="auto" w:fill="FFFFFF"/>
              </w:rPr>
            </w:pPr>
            <w:r>
              <w:rPr>
                <w:b/>
                <w:szCs w:val="28"/>
                <w:shd w:val="clear" w:color="auto" w:fill="FFFFFF"/>
              </w:rPr>
              <w:t>Рыбинский район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2020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2021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2022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2023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2024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Средний показатель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Пожары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165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142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</w:pPr>
            <w:r>
              <w:rPr>
                <w:szCs w:val="28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96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91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158,6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Гибель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2,8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Травмы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8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2,8</w:t>
            </w:r>
          </w:p>
        </w:tc>
      </w:tr>
    </w:tbl>
    <w:p w:rsidR="0072471D" w:rsidRDefault="0072471D">
      <w:pPr>
        <w:pStyle w:val="Textbodyindent"/>
        <w:ind w:left="-142" w:firstLine="426"/>
        <w:jc w:val="center"/>
        <w:rPr>
          <w:b/>
          <w:szCs w:val="28"/>
        </w:rPr>
      </w:pPr>
    </w:p>
    <w:p w:rsidR="0072471D" w:rsidRDefault="00763FB2">
      <w:pPr>
        <w:pStyle w:val="Textbodyindent"/>
        <w:ind w:left="-142" w:firstLine="426"/>
        <w:jc w:val="center"/>
        <w:rPr>
          <w:b/>
          <w:szCs w:val="28"/>
        </w:rPr>
      </w:pPr>
      <w:r>
        <w:rPr>
          <w:b/>
          <w:szCs w:val="28"/>
        </w:rPr>
        <w:t>Распределение количества</w:t>
      </w:r>
      <w:r>
        <w:rPr>
          <w:b/>
          <w:szCs w:val="28"/>
        </w:rPr>
        <w:t xml:space="preserve"> пожаров по объектам</w:t>
      </w:r>
    </w:p>
    <w:p w:rsidR="0072471D" w:rsidRDefault="0072471D">
      <w:pPr>
        <w:pStyle w:val="Textbodyindent"/>
        <w:ind w:left="-142" w:firstLine="426"/>
        <w:jc w:val="center"/>
        <w:rPr>
          <w:b/>
          <w:sz w:val="20"/>
          <w:szCs w:val="20"/>
        </w:rPr>
      </w:pPr>
    </w:p>
    <w:tbl>
      <w:tblPr>
        <w:tblW w:w="9713" w:type="dxa"/>
        <w:tblInd w:w="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0"/>
        <w:gridCol w:w="1305"/>
        <w:gridCol w:w="1229"/>
        <w:gridCol w:w="2529"/>
      </w:tblGrid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Объект пожара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Рыбинский район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Примечание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63FB2">
            <w:pPr>
              <w:suppressAutoHyphens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ar-SA"/>
              </w:rPr>
              <w:t>2024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2025</w:t>
            </w: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63FB2">
            <w:pPr>
              <w:suppressAutoHyphens w:val="0"/>
            </w:pPr>
          </w:p>
        </w:tc>
      </w:tr>
      <w:tr w:rsidR="0072471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Жилой сектор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-7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Образование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52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2471D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Транспорт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+1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Объекты торговли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2471D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Не эксплуатируемые (бесхозные)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+2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Прочие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-1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ТБО (мусор)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+3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Сухая трава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Cs w:val="28"/>
                <w:shd w:val="clear" w:color="auto" w:fill="FFFFFF"/>
              </w:rPr>
              <w:t>0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252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+8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8"/>
                <w:shd w:val="clear" w:color="auto" w:fill="FFFFFF"/>
                <w:lang w:eastAsia="ar-SA"/>
              </w:rPr>
              <w:t>+6</w:t>
            </w:r>
          </w:p>
        </w:tc>
      </w:tr>
    </w:tbl>
    <w:p w:rsidR="0072471D" w:rsidRDefault="00763FB2">
      <w:pPr>
        <w:pStyle w:val="Textbodyindent"/>
        <w:ind w:left="-851" w:right="-142"/>
        <w:jc w:val="center"/>
      </w:pPr>
      <w:r>
        <w:rPr>
          <w:noProof/>
        </w:rPr>
        <w:drawing>
          <wp:inline distT="0" distB="0" distL="0" distR="0">
            <wp:extent cx="5826240" cy="3314160"/>
            <wp:effectExtent l="0" t="0" r="0" b="0"/>
            <wp:docPr id="2" name="Объект4" descr="диаграм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471D" w:rsidRDefault="0072471D">
      <w:pPr>
        <w:pStyle w:val="Standard"/>
        <w:ind w:firstLine="567"/>
        <w:jc w:val="both"/>
        <w:rPr>
          <w:sz w:val="8"/>
          <w:szCs w:val="8"/>
        </w:rPr>
      </w:pPr>
    </w:p>
    <w:p w:rsidR="0072471D" w:rsidRDefault="00763FB2">
      <w:pPr>
        <w:pStyle w:val="Textbodyindent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Основными причинами пожаров</w:t>
      </w:r>
    </w:p>
    <w:p w:rsidR="0072471D" w:rsidRDefault="0072471D">
      <w:pPr>
        <w:pStyle w:val="Textbodyindent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09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1200"/>
        <w:gridCol w:w="1350"/>
        <w:gridCol w:w="2445"/>
      </w:tblGrid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ind w:left="57" w:firstLine="17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Объект пожара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Рыбинский район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Примечание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63FB2">
            <w:pPr>
              <w:suppressAutoHyphens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ar-SA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kern w:val="0"/>
                <w:szCs w:val="28"/>
                <w:lang w:eastAsia="ar-SA"/>
              </w:rPr>
              <w:t>5</w:t>
            </w: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763FB2">
            <w:pPr>
              <w:suppressAutoHyphens w:val="0"/>
            </w:pP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Неосторожное обращение с огнём, в том числе при курении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:lang w:eastAsia="ar-SA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8"/>
                <w:shd w:val="clear" w:color="auto" w:fill="FFFFFF"/>
                <w:lang w:eastAsia="ar-SA"/>
              </w:rPr>
              <w:t xml:space="preserve"> 2,8 раза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НППБ при монтаже и эксплуатации электрооборудования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-1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НППБ при монтаже и эксплуатации печного отопления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- 2 раза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Нарушение правил эксплуатации транспортного средства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+1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Детская шалость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2471D">
            <w:pPr>
              <w:pStyle w:val="PreformattedTex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2471D">
            <w:pPr>
              <w:pStyle w:val="PreformattedTex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2471D">
            <w:pPr>
              <w:pStyle w:val="PreformattedText"/>
              <w:rPr>
                <w:rFonts w:ascii="Times New Roman" w:hAnsi="Times New Roman"/>
                <w:szCs w:val="28"/>
              </w:rPr>
            </w:pP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Умышленный поджог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2471D">
            <w:pPr>
              <w:pStyle w:val="PreformattedText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-1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Прочие причины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2471D">
            <w:pPr>
              <w:pStyle w:val="PreformattedTex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</w:tr>
      <w:tr w:rsidR="0072471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Textbodyinden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lastRenderedPageBreak/>
              <w:t>Итого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71D" w:rsidRDefault="00763FB2">
            <w:pPr>
              <w:pStyle w:val="PreformattedText"/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8"/>
                <w:shd w:val="clear" w:color="auto" w:fill="FFFFFF"/>
                <w:lang w:eastAsia="ar-SA"/>
              </w:rPr>
              <w:t>+6</w:t>
            </w:r>
          </w:p>
        </w:tc>
      </w:tr>
    </w:tbl>
    <w:p w:rsidR="0072471D" w:rsidRDefault="0072471D">
      <w:pPr>
        <w:pStyle w:val="Standard"/>
        <w:rPr>
          <w:rFonts w:ascii="Times New Roman" w:hAnsi="Times New Roman"/>
          <w:b/>
          <w:bCs/>
          <w:sz w:val="26"/>
          <w:szCs w:val="26"/>
        </w:rPr>
      </w:pPr>
    </w:p>
    <w:p w:rsidR="0072471D" w:rsidRDefault="0072471D">
      <w:pPr>
        <w:pStyle w:val="Textbodyindent"/>
        <w:jc w:val="center"/>
        <w:rPr>
          <w:b/>
          <w:bCs/>
          <w:sz w:val="2"/>
          <w:szCs w:val="2"/>
        </w:rPr>
      </w:pPr>
    </w:p>
    <w:p w:rsidR="0072471D" w:rsidRDefault="00763FB2">
      <w:pPr>
        <w:pStyle w:val="Textbodyindent"/>
        <w:ind w:left="-113" w:firstLine="680"/>
      </w:pPr>
      <w:r>
        <w:rPr>
          <w:rFonts w:ascii="Times New Roman" w:hAnsi="Times New Roman"/>
          <w:szCs w:val="28"/>
          <w:shd w:val="clear" w:color="auto" w:fill="FFFFFF"/>
        </w:rPr>
        <w:t>Основное число пожаров в 202</w:t>
      </w:r>
      <w:r>
        <w:rPr>
          <w:rFonts w:ascii="Times New Roman" w:eastAsia="Times New Roman" w:hAnsi="Times New Roman" w:cs="Times New Roman"/>
          <w:kern w:val="0"/>
          <w:szCs w:val="28"/>
          <w:shd w:val="clear" w:color="auto" w:fill="FFFFFF"/>
          <w:lang w:eastAsia="ar-SA"/>
        </w:rPr>
        <w:t>5</w:t>
      </w:r>
      <w:r>
        <w:rPr>
          <w:rFonts w:ascii="Times New Roman" w:hAnsi="Times New Roman"/>
          <w:szCs w:val="28"/>
          <w:shd w:val="clear" w:color="auto" w:fill="FFFFFF"/>
        </w:rPr>
        <w:t xml:space="preserve"> году зарегистрировано на не поднадзорных объектах, основными причинами возникнов</w:t>
      </w:r>
      <w:r>
        <w:rPr>
          <w:rFonts w:ascii="Times New Roman" w:hAnsi="Times New Roman"/>
          <w:szCs w:val="28"/>
        </w:rPr>
        <w:t>ения пожаров послужило неосторожное обращение с огнём — 52</w:t>
      </w:r>
      <w:r>
        <w:rPr>
          <w:rFonts w:ascii="Times New Roman" w:eastAsia="Times New Roman" w:hAnsi="Times New Roman" w:cs="Times New Roman"/>
          <w:kern w:val="0"/>
          <w:szCs w:val="28"/>
          <w:lang w:eastAsia="ar-SA"/>
        </w:rPr>
        <w:t>%,</w:t>
      </w:r>
      <w:r>
        <w:rPr>
          <w:rFonts w:ascii="Times New Roman" w:hAnsi="Times New Roman"/>
          <w:szCs w:val="28"/>
        </w:rPr>
        <w:t xml:space="preserve"> НППБ при эксплуатации печного отопления 21%</w:t>
      </w:r>
      <w:r>
        <w:rPr>
          <w:rFonts w:ascii="Times New Roman" w:eastAsia="Times New Roman" w:hAnsi="Times New Roman" w:cs="Times New Roman"/>
          <w:kern w:val="0"/>
          <w:szCs w:val="28"/>
          <w:lang w:eastAsia="ar-SA"/>
        </w:rPr>
        <w:t xml:space="preserve">, </w:t>
      </w:r>
      <w:r>
        <w:rPr>
          <w:rFonts w:ascii="Times New Roman" w:hAnsi="Times New Roman"/>
          <w:szCs w:val="28"/>
        </w:rPr>
        <w:t xml:space="preserve"> НППБ при эксплуатации электрооборудования 12%</w:t>
      </w:r>
      <w:r>
        <w:rPr>
          <w:rFonts w:ascii="Times New Roman" w:eastAsia="Times New Roman" w:hAnsi="Times New Roman" w:cs="Times New Roman"/>
          <w:kern w:val="0"/>
          <w:szCs w:val="28"/>
          <w:lang w:eastAsia="ar-SA"/>
        </w:rPr>
        <w:t>.</w:t>
      </w:r>
    </w:p>
    <w:p w:rsidR="0072471D" w:rsidRDefault="0072471D">
      <w:pPr>
        <w:pStyle w:val="Standard"/>
        <w:rPr>
          <w:rFonts w:ascii="Times New Roman" w:hAnsi="Times New Roman"/>
          <w:b/>
          <w:color w:val="000000"/>
          <w:szCs w:val="28"/>
        </w:rPr>
      </w:pPr>
    </w:p>
    <w:p w:rsidR="0072471D" w:rsidRDefault="0072471D">
      <w:pPr>
        <w:pStyle w:val="Standard"/>
        <w:rPr>
          <w:rFonts w:ascii="Times New Roman" w:hAnsi="Times New Roman"/>
          <w:b/>
          <w:color w:val="000000"/>
          <w:szCs w:val="28"/>
        </w:rPr>
      </w:pPr>
    </w:p>
    <w:p w:rsidR="0072471D" w:rsidRDefault="00763FB2">
      <w:pPr>
        <w:pStyle w:val="Standard"/>
      </w:pPr>
      <w:r>
        <w:rPr>
          <w:rFonts w:ascii="Times New Roman" w:hAnsi="Times New Roman"/>
          <w:b/>
          <w:color w:val="000000"/>
          <w:szCs w:val="28"/>
        </w:rPr>
        <w:t>Р</w:t>
      </w:r>
      <w:r>
        <w:rPr>
          <w:rFonts w:ascii="Times New Roman" w:hAnsi="Times New Roman"/>
          <w:b/>
          <w:color w:val="000000"/>
        </w:rPr>
        <w:t>аспределение числа</w:t>
      </w:r>
      <w:r>
        <w:rPr>
          <w:rFonts w:ascii="Times New Roman" w:hAnsi="Times New Roman"/>
          <w:b/>
          <w:color w:val="000000"/>
        </w:rPr>
        <w:t xml:space="preserve"> пожаров по основным причинам</w:t>
      </w:r>
    </w:p>
    <w:p w:rsidR="0072471D" w:rsidRDefault="0072471D">
      <w:pPr>
        <w:pStyle w:val="Standard"/>
        <w:ind w:firstLine="567"/>
        <w:jc w:val="both"/>
        <w:rPr>
          <w:szCs w:val="28"/>
        </w:rPr>
      </w:pPr>
    </w:p>
    <w:p w:rsidR="0072471D" w:rsidRDefault="00763FB2">
      <w:pPr>
        <w:pStyle w:val="Standard"/>
        <w:jc w:val="both"/>
      </w:pPr>
      <w:r>
        <w:rPr>
          <w:noProof/>
        </w:rPr>
        <w:drawing>
          <wp:inline distT="0" distB="0" distL="0" distR="0">
            <wp:extent cx="5479920" cy="2462400"/>
            <wp:effectExtent l="0" t="0" r="0" b="0"/>
            <wp:docPr id="3" name="Объект8" descr="диаграмма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471D" w:rsidRDefault="0072471D">
      <w:pPr>
        <w:pStyle w:val="Standard"/>
        <w:tabs>
          <w:tab w:val="left" w:pos="0"/>
        </w:tabs>
        <w:ind w:right="-83" w:firstLine="720"/>
        <w:jc w:val="both"/>
        <w:rPr>
          <w:rFonts w:ascii="Times New Roman" w:eastAsia="Calibri" w:hAnsi="Times New Roman"/>
          <w:b/>
          <w:bCs/>
          <w:szCs w:val="28"/>
          <w:lang w:eastAsia="ar-SA"/>
        </w:rPr>
      </w:pPr>
    </w:p>
    <w:p w:rsidR="0072471D" w:rsidRDefault="0072471D">
      <w:pPr>
        <w:pStyle w:val="Standard"/>
        <w:tabs>
          <w:tab w:val="left" w:pos="0"/>
        </w:tabs>
        <w:ind w:right="-83" w:firstLine="720"/>
        <w:jc w:val="both"/>
        <w:rPr>
          <w:rFonts w:eastAsia="Calibri"/>
          <w:szCs w:val="28"/>
          <w:shd w:val="clear" w:color="auto" w:fill="FFFFFF"/>
          <w:lang w:eastAsia="ar-SA"/>
        </w:rPr>
      </w:pPr>
    </w:p>
    <w:p w:rsidR="0072471D" w:rsidRDefault="0072471D">
      <w:pPr>
        <w:pStyle w:val="Standard"/>
        <w:tabs>
          <w:tab w:val="left" w:pos="0"/>
        </w:tabs>
        <w:ind w:firstLine="567"/>
        <w:jc w:val="both"/>
        <w:rPr>
          <w:szCs w:val="28"/>
          <w:shd w:val="clear" w:color="auto" w:fill="FFFFFF"/>
        </w:rPr>
      </w:pPr>
    </w:p>
    <w:p w:rsidR="0072471D" w:rsidRDefault="0072471D">
      <w:pPr>
        <w:pStyle w:val="Firstlineindent"/>
        <w:tabs>
          <w:tab w:val="left" w:pos="0"/>
        </w:tabs>
        <w:ind w:right="-83" w:firstLine="426"/>
        <w:rPr>
          <w:sz w:val="28"/>
          <w:szCs w:val="28"/>
          <w:shd w:val="clear" w:color="auto" w:fill="FFFFFF"/>
        </w:rPr>
      </w:pPr>
    </w:p>
    <w:p w:rsidR="0072471D" w:rsidRDefault="0072471D">
      <w:pPr>
        <w:pStyle w:val="Standard"/>
        <w:tabs>
          <w:tab w:val="left" w:pos="0"/>
        </w:tabs>
        <w:ind w:firstLine="567"/>
        <w:jc w:val="both"/>
        <w:rPr>
          <w:szCs w:val="28"/>
          <w:shd w:val="clear" w:color="auto" w:fill="FFFFFF"/>
        </w:rPr>
      </w:pPr>
    </w:p>
    <w:p w:rsidR="0072471D" w:rsidRDefault="0072471D">
      <w:pPr>
        <w:pStyle w:val="Standard"/>
        <w:tabs>
          <w:tab w:val="left" w:pos="0"/>
        </w:tabs>
        <w:ind w:firstLine="567"/>
        <w:jc w:val="both"/>
        <w:rPr>
          <w:szCs w:val="28"/>
          <w:shd w:val="clear" w:color="auto" w:fill="FFFFFF"/>
        </w:rPr>
      </w:pPr>
    </w:p>
    <w:p w:rsidR="0072471D" w:rsidRDefault="0072471D">
      <w:pPr>
        <w:pStyle w:val="Standard"/>
        <w:tabs>
          <w:tab w:val="left" w:pos="0"/>
        </w:tabs>
        <w:ind w:firstLine="567"/>
        <w:jc w:val="both"/>
        <w:rPr>
          <w:szCs w:val="28"/>
          <w:shd w:val="clear" w:color="auto" w:fill="FFFFFF"/>
        </w:rPr>
      </w:pPr>
    </w:p>
    <w:sectPr w:rsidR="0072471D">
      <w:footerReference w:type="default" r:id="rId11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B2" w:rsidRDefault="00763FB2">
      <w:r>
        <w:separator/>
      </w:r>
    </w:p>
  </w:endnote>
  <w:endnote w:type="continuationSeparator" w:id="0">
    <w:p w:rsidR="00763FB2" w:rsidRDefault="0076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0D" w:rsidRDefault="00763F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B2" w:rsidRDefault="00763FB2">
      <w:r>
        <w:rPr>
          <w:color w:val="000000"/>
        </w:rPr>
        <w:separator/>
      </w:r>
    </w:p>
  </w:footnote>
  <w:footnote w:type="continuationSeparator" w:id="0">
    <w:p w:rsidR="00763FB2" w:rsidRDefault="0076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69A"/>
    <w:multiLevelType w:val="multilevel"/>
    <w:tmpl w:val="04A483C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">
    <w:nsid w:val="1B8B4C8C"/>
    <w:multiLevelType w:val="multilevel"/>
    <w:tmpl w:val="D52C9FE8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2">
    <w:nsid w:val="22901CB4"/>
    <w:multiLevelType w:val="multilevel"/>
    <w:tmpl w:val="B7745E9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3">
    <w:nsid w:val="22E26755"/>
    <w:multiLevelType w:val="multilevel"/>
    <w:tmpl w:val="C478A5F2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24ED6244"/>
    <w:multiLevelType w:val="multilevel"/>
    <w:tmpl w:val="272E69E0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5">
    <w:nsid w:val="2B550D22"/>
    <w:multiLevelType w:val="multilevel"/>
    <w:tmpl w:val="0B3AE9B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355E1F1A"/>
    <w:multiLevelType w:val="multilevel"/>
    <w:tmpl w:val="B434C726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7">
    <w:nsid w:val="47BB0D07"/>
    <w:multiLevelType w:val="multilevel"/>
    <w:tmpl w:val="DF0E9EA2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8">
    <w:nsid w:val="5A762389"/>
    <w:multiLevelType w:val="multilevel"/>
    <w:tmpl w:val="0F0829A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624E03B3"/>
    <w:multiLevelType w:val="multilevel"/>
    <w:tmpl w:val="1F94B2E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7062C76"/>
    <w:multiLevelType w:val="multilevel"/>
    <w:tmpl w:val="D90AD462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1">
    <w:nsid w:val="6D117564"/>
    <w:multiLevelType w:val="multilevel"/>
    <w:tmpl w:val="83E20706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>
    <w:nsid w:val="6EC66412"/>
    <w:multiLevelType w:val="multilevel"/>
    <w:tmpl w:val="8D429902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3">
    <w:nsid w:val="703A1E01"/>
    <w:multiLevelType w:val="multilevel"/>
    <w:tmpl w:val="8F7ADAEE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defaultTabStop w:val="35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471D"/>
    <w:rsid w:val="0051742E"/>
    <w:rsid w:val="0072471D"/>
    <w:rsid w:val="00763FB2"/>
    <w:rsid w:val="00A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Standarduser">
    <w:name w:val="Standard (user)"/>
    <w:pPr>
      <w:suppressAutoHyphens/>
      <w:jc w:val="center"/>
    </w:pPr>
    <w:rPr>
      <w:rFonts w:ascii="PT Astra Serif" w:hAnsi="PT Astra Serif" w:cs="PT Astra Serif"/>
      <w:sz w:val="28"/>
    </w:rPr>
  </w:style>
  <w:style w:type="paragraph" w:customStyle="1" w:styleId="Firstlineindentuser">
    <w:name w:val="First line indent (user)"/>
    <w:basedOn w:val="Standarduser"/>
    <w:pPr>
      <w:ind w:firstLine="709"/>
      <w:jc w:val="both"/>
    </w:pPr>
    <w:rPr>
      <w:sz w:val="21"/>
    </w:rPr>
  </w:style>
  <w:style w:type="paragraph" w:customStyle="1" w:styleId="100">
    <w:name w:val="Основной текст (10)"/>
    <w:basedOn w:val="Standard"/>
    <w:pPr>
      <w:shd w:val="clear" w:color="auto" w:fill="FFFFFF"/>
      <w:spacing w:after="240" w:line="278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e">
    <w:name w:val="Оглавление"/>
    <w:basedOn w:val="Standar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f">
    <w:name w:val="Title"/>
    <w:basedOn w:val="Standard"/>
    <w:next w:val="a7"/>
    <w:rPr>
      <w:b/>
      <w:bCs/>
      <w:szCs w:val="28"/>
      <w:u w:val="single"/>
      <w:lang w:eastAsia="ar-SA"/>
    </w:rPr>
  </w:style>
  <w:style w:type="paragraph" w:customStyle="1" w:styleId="TableParagraph">
    <w:name w:val="Table Paragraph"/>
    <w:basedOn w:val="Standard"/>
    <w:rPr>
      <w:sz w:val="22"/>
      <w:szCs w:val="22"/>
      <w:lang w:eastAsia="en-US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paragraph" w:styleId="af2">
    <w:name w:val="Balloon Text"/>
    <w:basedOn w:val="a1"/>
    <w:link w:val="af3"/>
    <w:uiPriority w:val="99"/>
    <w:semiHidden/>
    <w:unhideWhenUsed/>
    <w:rsid w:val="00A83D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A83D99"/>
    <w:rPr>
      <w:rFonts w:ascii="Tahoma" w:hAnsi="Tahoma" w:cs="Tahoma"/>
      <w:sz w:val="16"/>
      <w:szCs w:val="16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numbering" w:customStyle="1" w:styleId="WWNum9">
    <w:name w:val="WWNum9"/>
    <w:basedOn w:val="a4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suppressAutoHyphens/>
    </w:pPr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  <w:next w:val="Firstlineindent"/>
    <w:pPr>
      <w:spacing w:after="170"/>
    </w:pPr>
    <w:rPr>
      <w:b/>
      <w:sz w:val="21"/>
    </w:rPr>
  </w:style>
  <w:style w:type="paragraph" w:customStyle="1" w:styleId="Index">
    <w:name w:val="Index"/>
    <w:basedOn w:val="Heading"/>
  </w:style>
  <w:style w:type="paragraph" w:customStyle="1" w:styleId="Quotations">
    <w:name w:val="Quotations"/>
    <w:basedOn w:val="Standard"/>
  </w:style>
  <w:style w:type="paragraph" w:styleId="a7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8">
    <w:name w:val="Salutation"/>
    <w:basedOn w:val="Standard"/>
  </w:style>
  <w:style w:type="paragraph" w:styleId="a9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10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styleId="aa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c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d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paragraph" w:customStyle="1" w:styleId="Standarduser">
    <w:name w:val="Standard (user)"/>
    <w:pPr>
      <w:suppressAutoHyphens/>
      <w:jc w:val="center"/>
    </w:pPr>
    <w:rPr>
      <w:rFonts w:ascii="PT Astra Serif" w:hAnsi="PT Astra Serif" w:cs="PT Astra Serif"/>
      <w:sz w:val="28"/>
    </w:rPr>
  </w:style>
  <w:style w:type="paragraph" w:customStyle="1" w:styleId="Firstlineindentuser">
    <w:name w:val="First line indent (user)"/>
    <w:basedOn w:val="Standarduser"/>
    <w:pPr>
      <w:ind w:firstLine="709"/>
      <w:jc w:val="both"/>
    </w:pPr>
    <w:rPr>
      <w:sz w:val="21"/>
    </w:rPr>
  </w:style>
  <w:style w:type="paragraph" w:customStyle="1" w:styleId="100">
    <w:name w:val="Основной текст (10)"/>
    <w:basedOn w:val="Standard"/>
    <w:pPr>
      <w:shd w:val="clear" w:color="auto" w:fill="FFFFFF"/>
      <w:spacing w:after="240" w:line="278" w:lineRule="exact"/>
      <w:ind w:hanging="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e">
    <w:name w:val="Оглавление"/>
    <w:basedOn w:val="Standar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f">
    <w:name w:val="Title"/>
    <w:basedOn w:val="Standard"/>
    <w:next w:val="a7"/>
    <w:rPr>
      <w:b/>
      <w:bCs/>
      <w:szCs w:val="28"/>
      <w:u w:val="single"/>
      <w:lang w:eastAsia="ar-SA"/>
    </w:rPr>
  </w:style>
  <w:style w:type="paragraph" w:customStyle="1" w:styleId="TableParagraph">
    <w:name w:val="Table Paragraph"/>
    <w:basedOn w:val="Standard"/>
    <w:rPr>
      <w:sz w:val="22"/>
      <w:szCs w:val="22"/>
      <w:lang w:eastAsia="en-US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0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1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paragraph" w:styleId="af2">
    <w:name w:val="Balloon Text"/>
    <w:basedOn w:val="a1"/>
    <w:link w:val="af3"/>
    <w:uiPriority w:val="99"/>
    <w:semiHidden/>
    <w:unhideWhenUsed/>
    <w:rsid w:val="00A83D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A83D99"/>
    <w:rPr>
      <w:rFonts w:ascii="Tahoma" w:hAnsi="Tahoma" w:cs="Tahoma"/>
      <w:sz w:val="16"/>
      <w:szCs w:val="16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IVX">
    <w:name w:val="Numbering IVX"/>
    <w:basedOn w:val="a4"/>
    <w:pPr>
      <w:numPr>
        <w:numId w:val="3"/>
      </w:numPr>
    </w:pPr>
  </w:style>
  <w:style w:type="numbering" w:customStyle="1" w:styleId="List2">
    <w:name w:val="List 2"/>
    <w:basedOn w:val="a4"/>
    <w:pPr>
      <w:numPr>
        <w:numId w:val="4"/>
      </w:numPr>
    </w:pPr>
  </w:style>
  <w:style w:type="numbering" w:customStyle="1" w:styleId="List3">
    <w:name w:val="List 3"/>
    <w:basedOn w:val="a4"/>
    <w:pPr>
      <w:numPr>
        <w:numId w:val="5"/>
      </w:numPr>
    </w:pPr>
  </w:style>
  <w:style w:type="numbering" w:customStyle="1" w:styleId="List4">
    <w:name w:val="List 4"/>
    <w:basedOn w:val="a4"/>
    <w:pPr>
      <w:numPr>
        <w:numId w:val="6"/>
      </w:numPr>
    </w:pPr>
  </w:style>
  <w:style w:type="numbering" w:customStyle="1" w:styleId="List5">
    <w:name w:val="List 5"/>
    <w:basedOn w:val="a4"/>
    <w:pPr>
      <w:numPr>
        <w:numId w:val="7"/>
      </w:numPr>
    </w:pPr>
  </w:style>
  <w:style w:type="numbering" w:customStyle="1" w:styleId="Numberingabc1">
    <w:name w:val="Numbering abc_1"/>
    <w:basedOn w:val="a4"/>
    <w:pPr>
      <w:numPr>
        <w:numId w:val="8"/>
      </w:numPr>
    </w:pPr>
  </w:style>
  <w:style w:type="numbering" w:customStyle="1" w:styleId="Numberingivx1">
    <w:name w:val="Numbering ivx_1"/>
    <w:basedOn w:val="a4"/>
    <w:pPr>
      <w:numPr>
        <w:numId w:val="9"/>
      </w:numPr>
    </w:pPr>
  </w:style>
  <w:style w:type="numbering" w:customStyle="1" w:styleId="List11">
    <w:name w:val="List 1_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numbering" w:customStyle="1" w:styleId="WWNum9">
    <w:name w:val="WWNum9"/>
    <w:basedOn w:val="a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plotArea>
      <c:layout>
        <c:manualLayout>
          <c:xMode val="edge"/>
          <c:yMode val="edge"/>
          <c:x val="2.9961304588170257E-2"/>
          <c:y val="1.8571288198879828E-2"/>
          <c:w val="0.85970149253731343"/>
          <c:h val="0.95597889576714379"/>
        </c:manualLayout>
      </c:layout>
      <c:barChart>
        <c:barDir val="col"/>
        <c:grouping val="clustered"/>
        <c:varyColors val="0"/>
        <c:ser>
          <c:idx val="0"/>
          <c:order val="0"/>
          <c:tx>
            <c:v>2024</c:v>
          </c:tx>
          <c:spPr>
            <a:solidFill>
              <a:srgbClr val="004586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Пожыры Рыбинский район</c:v>
              </c:pt>
              <c:pt idx="1">
                <c:v>Гибель</c:v>
              </c:pt>
              <c:pt idx="2">
                <c:v>Травмы</c:v>
              </c:pt>
            </c:strLit>
          </c:cat>
          <c:val>
            <c:numLit>
              <c:formatCode>General</c:formatCode>
              <c:ptCount val="3"/>
              <c:pt idx="0">
                <c:v>27</c:v>
              </c:pt>
              <c:pt idx="1">
                <c:v>3</c:v>
              </c:pt>
              <c:pt idx="2">
                <c:v>0</c:v>
              </c:pt>
            </c:numLit>
          </c:val>
        </c:ser>
        <c:ser>
          <c:idx val="1"/>
          <c:order val="1"/>
          <c:tx>
            <c:v>2025</c:v>
          </c:tx>
          <c:spPr>
            <a:solidFill>
              <a:srgbClr val="FF420E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Пожыры Рыбинский район</c:v>
              </c:pt>
              <c:pt idx="1">
                <c:v>Гибель</c:v>
              </c:pt>
              <c:pt idx="2">
                <c:v>Травмы</c:v>
              </c:pt>
            </c:strLit>
          </c:cat>
          <c:val>
            <c:numLit>
              <c:formatCode>General</c:formatCode>
              <c:ptCount val="3"/>
              <c:pt idx="0">
                <c:v>33</c:v>
              </c:pt>
              <c:pt idx="1">
                <c:v>0</c:v>
              </c:pt>
              <c:pt idx="2">
                <c:v>6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698304"/>
        <c:axId val="154293888"/>
      </c:barChart>
      <c:valAx>
        <c:axId val="154293888"/>
        <c:scaling>
          <c:orientation val="minMax"/>
          <c:max val="30"/>
        </c:scaling>
        <c:delete val="0"/>
        <c:axPos val="l"/>
        <c:majorGridlines>
          <c:spPr>
            <a:ln>
              <a:solidFill>
                <a:srgbClr val="B3B3B3"/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1000" b="0"/>
            </a:pPr>
            <a:endParaRPr lang="ru-RU"/>
          </a:p>
        </c:txPr>
        <c:crossAx val="49698304"/>
        <c:crosses val="autoZero"/>
        <c:crossBetween val="between"/>
        <c:majorUnit val="1"/>
        <c:minorUnit val="1"/>
      </c:valAx>
      <c:catAx>
        <c:axId val="496983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rgbClr val="B3B3B3"/>
            </a:solidFill>
          </a:ln>
        </c:spPr>
        <c:txPr>
          <a:bodyPr/>
          <a:lstStyle/>
          <a:p>
            <a:pPr>
              <a:defRPr sz="700" b="0">
                <a:latin typeface="Arimo"/>
              </a:defRPr>
            </a:pPr>
            <a:endParaRPr lang="ru-RU"/>
          </a:p>
        </c:txPr>
        <c:crossAx val="154293888"/>
        <c:crossesAt val="0"/>
        <c:auto val="1"/>
        <c:lblAlgn val="ctr"/>
        <c:lblOffset val="100"/>
        <c:noMultiLvlLbl val="0"/>
      </c:catAx>
      <c:spPr>
        <a:noFill/>
        <a:ln>
          <a:solidFill>
            <a:srgbClr val="B3B3B3"/>
          </a:solidFill>
          <a:prstDash val="solid"/>
        </a:ln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1000" b="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title>
      <c:tx>
        <c:rich>
          <a:bodyPr/>
          <a:lstStyle/>
          <a:p>
            <a:pPr>
              <a:defRPr lang="ru-RU" sz="1400" b="1" baseline="0">
                <a:solidFill>
                  <a:srgbClr val="000000"/>
                </a:solidFill>
                <a:latin typeface="Times New Roman" pitchFamily="16"/>
                <a:cs typeface="Times New Roman" pitchFamily="16"/>
              </a:defRPr>
            </a:pPr>
            <a:r>
              <a:rPr lang="ru-RU"/>
              <a:t>Количество пожаров по месяцам года</a:t>
            </a:r>
          </a:p>
        </c:rich>
      </c:tx>
      <c:layout>
        <c:manualLayout>
          <c:xMode val="edge"/>
          <c:yMode val="edge"/>
          <c:x val="0.27386763888030646"/>
          <c:y val="2.2596414991852255E-2"/>
        </c:manualLayout>
      </c:layout>
      <c:overlay val="0"/>
    </c:title>
    <c:autoTitleDeleted val="0"/>
    <c:plotArea>
      <c:layout>
        <c:manualLayout>
          <c:xMode val="edge"/>
          <c:yMode val="edge"/>
          <c:x val="2.3666810850892912E-2"/>
          <c:y val="0.19934818033677348"/>
          <c:w val="0.9156522276462955"/>
          <c:h val="0.78696360673546983"/>
        </c:manualLayout>
      </c:layout>
      <c:barChart>
        <c:barDir val="col"/>
        <c:grouping val="clustered"/>
        <c:varyColors val="0"/>
        <c:ser>
          <c:idx val="0"/>
          <c:order val="0"/>
          <c:tx>
            <c:v>2024</c:v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sz="1000" b="0" baseline="0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2"/>
              <c:pt idx="0">
                <c:v>Январь</c:v>
              </c:pt>
              <c:pt idx="1">
                <c:v>Февраль</c:v>
              </c:pt>
              <c:pt idx="2">
                <c:v>Март</c:v>
              </c:pt>
              <c:pt idx="3">
                <c:v>Апрель</c:v>
              </c:pt>
              <c:pt idx="4">
                <c:v>Май</c:v>
              </c:pt>
              <c:pt idx="5">
                <c:v>Июнь</c:v>
              </c:pt>
              <c:pt idx="6">
                <c:v>Июль</c:v>
              </c:pt>
              <c:pt idx="7">
                <c:v>Август</c:v>
              </c:pt>
              <c:pt idx="8">
                <c:v>Сентябрь</c:v>
              </c:pt>
              <c:pt idx="9">
                <c:v>Октябрь</c:v>
              </c:pt>
              <c:pt idx="10">
                <c:v>Ноябрь</c:v>
              </c:pt>
              <c:pt idx="11">
                <c:v>Декабрь</c:v>
              </c:pt>
            </c:strLit>
          </c:cat>
          <c:val>
            <c:numLit>
              <c:formatCode>General</c:formatCode>
              <c:ptCount val="12"/>
              <c:pt idx="0">
                <c:v>6</c:v>
              </c:pt>
              <c:pt idx="1">
                <c:v>11</c:v>
              </c:pt>
              <c:pt idx="2">
                <c:v>9</c:v>
              </c:pt>
              <c:pt idx="3">
                <c:v>11</c:v>
              </c:pt>
              <c:pt idx="4">
                <c:v>17</c:v>
              </c:pt>
              <c:pt idx="5">
                <c:v>8</c:v>
              </c:pt>
              <c:pt idx="6">
                <c:v>5</c:v>
              </c:pt>
              <c:pt idx="7">
                <c:v>0</c:v>
              </c:pt>
              <c:pt idx="8">
                <c:v>4</c:v>
              </c:pt>
              <c:pt idx="9">
                <c:v>5</c:v>
              </c:pt>
              <c:pt idx="10">
                <c:v>3</c:v>
              </c:pt>
              <c:pt idx="11">
                <c:v>12</c:v>
              </c:pt>
            </c:numLit>
          </c:val>
        </c:ser>
        <c:ser>
          <c:idx val="1"/>
          <c:order val="1"/>
          <c:tx>
            <c:v>2025</c:v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sz="1000" b="0" baseline="0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2"/>
              <c:pt idx="0">
                <c:v>Январь</c:v>
              </c:pt>
              <c:pt idx="1">
                <c:v>Февраль</c:v>
              </c:pt>
              <c:pt idx="2">
                <c:v>Март</c:v>
              </c:pt>
              <c:pt idx="3">
                <c:v>Апрель</c:v>
              </c:pt>
              <c:pt idx="4">
                <c:v>Май</c:v>
              </c:pt>
              <c:pt idx="5">
                <c:v>Июнь</c:v>
              </c:pt>
              <c:pt idx="6">
                <c:v>Июль</c:v>
              </c:pt>
              <c:pt idx="7">
                <c:v>Август</c:v>
              </c:pt>
              <c:pt idx="8">
                <c:v>Сентябрь</c:v>
              </c:pt>
              <c:pt idx="9">
                <c:v>Октябрь</c:v>
              </c:pt>
              <c:pt idx="10">
                <c:v>Ноябрь</c:v>
              </c:pt>
              <c:pt idx="11">
                <c:v>Декабрь</c:v>
              </c:pt>
            </c:strLit>
          </c:cat>
          <c:val>
            <c:numLit>
              <c:formatCode>General</c:formatCode>
              <c:ptCount val="12"/>
              <c:pt idx="0">
                <c:v>7</c:v>
              </c:pt>
              <c:pt idx="1">
                <c:v>8</c:v>
              </c:pt>
              <c:pt idx="2">
                <c:v>8</c:v>
              </c:pt>
              <c:pt idx="3">
                <c:v>10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  <c:pt idx="10">
                <c:v>0</c:v>
              </c:pt>
              <c:pt idx="11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166784"/>
        <c:axId val="274696448"/>
      </c:barChart>
      <c:valAx>
        <c:axId val="274696448"/>
        <c:scaling>
          <c:orientation val="minMax"/>
          <c:max val="35"/>
        </c:scaling>
        <c:delete val="0"/>
        <c:axPos val="l"/>
        <c:majorGridlines>
          <c:spPr>
            <a:ln w="9360">
              <a:solidFill>
                <a:srgbClr val="878787"/>
              </a:solidFill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solidFill>
              <a:srgbClr val="878787"/>
            </a:solidFill>
          </a:ln>
        </c:spPr>
        <c:txPr>
          <a:bodyPr/>
          <a:lstStyle/>
          <a:p>
            <a:pPr>
              <a:defRPr sz="1000" b="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74166784"/>
        <c:crossesAt val="1"/>
        <c:crossBetween val="between"/>
      </c:valAx>
      <c:catAx>
        <c:axId val="2741667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 w="9360">
            <a:solidFill>
              <a:srgbClr val="878787"/>
            </a:solidFill>
          </a:ln>
        </c:spPr>
        <c:txPr>
          <a:bodyPr/>
          <a:lstStyle/>
          <a:p>
            <a:pPr>
              <a:defRPr sz="1000" b="0" baseline="0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274696448"/>
        <c:crosses val="autoZero"/>
        <c:auto val="1"/>
        <c:lblAlgn val="ctr"/>
        <c:lblOffset val="100"/>
        <c:noMultiLvlLbl val="0"/>
      </c:catAx>
      <c:spPr>
        <a:solidFill>
          <a:srgbClr val="FFFFFF"/>
        </a:solidFill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1000" b="0" baseline="0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0"/>
  </c:chart>
  <c:spPr>
    <a:ln w="9360">
      <a:solidFill>
        <a:srgbClr val="D9D9D9"/>
      </a:solidFill>
      <a:prstDash val="solid"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autoTitleDeleted val="1"/>
    <c:view3D>
      <c:rotX val="15"/>
      <c:rotY val="0"/>
      <c:rAngAx val="0"/>
      <c:perspective val="0"/>
    </c:view3D>
    <c:floor>
      <c:thickness val="0"/>
      <c:spPr>
        <a:solidFill>
          <a:srgbClr val="D9D9D9"/>
        </a:solidFill>
      </c:spPr>
    </c:floor>
    <c:sideWall>
      <c:thickness val="0"/>
      <c:spPr>
        <a:solidFill>
          <a:srgbClr val="D9D9D9"/>
        </a:solidFill>
      </c:spPr>
    </c:sideWall>
    <c:backWall>
      <c:thickness val="0"/>
      <c:spPr>
        <a:solidFill>
          <a:srgbClr val="D9D9D9"/>
        </a:solidFill>
      </c:spPr>
    </c:backWall>
    <c:plotArea>
      <c:layout>
        <c:manualLayout>
          <c:xMode val="edge"/>
          <c:yMode val="edge"/>
          <c:x val="0.16535277887268426"/>
          <c:y val="0.29561362897985705"/>
          <c:w val="0.7568648812391422"/>
          <c:h val="0.72251461988304089"/>
        </c:manualLayout>
      </c:layout>
      <c:pie3DChart>
        <c:varyColors val="1"/>
        <c:ser>
          <c:idx val="0"/>
          <c:order val="0"/>
          <c:tx>
            <c:v>Распределение числа пожаров по основным причинам</c:v>
          </c:tx>
          <c:explosion val="42"/>
          <c:dPt>
            <c:idx val="0"/>
            <c:bubble3D val="0"/>
            <c:explosion val="2"/>
            <c:spPr>
              <a:solidFill>
                <a:srgbClr val="9999FF"/>
              </a:solidFill>
            </c:spPr>
          </c:dPt>
          <c:dPt>
            <c:idx val="1"/>
            <c:bubble3D val="0"/>
            <c:spPr>
              <a:solidFill>
                <a:srgbClr val="993366"/>
              </a:solidFill>
            </c:spPr>
          </c:dPt>
          <c:dPt>
            <c:idx val="2"/>
            <c:bubble3D val="0"/>
            <c:spPr>
              <a:solidFill>
                <a:srgbClr val="FFFFCC"/>
              </a:solidFill>
            </c:spPr>
          </c:dPt>
          <c:dPt>
            <c:idx val="3"/>
            <c:bubble3D val="0"/>
            <c:spPr>
              <a:solidFill>
                <a:srgbClr val="CCFFFF"/>
              </a:solidFill>
            </c:spPr>
          </c:dPt>
          <c:dPt>
            <c:idx val="4"/>
            <c:bubble3D val="0"/>
            <c:spPr>
              <a:solidFill>
                <a:srgbClr val="660066"/>
              </a:solidFill>
            </c:spPr>
          </c:dPt>
          <c:dLbls>
            <c:numFmt formatCode="General" sourceLinked="0"/>
            <c:txPr>
              <a:bodyPr/>
              <a:lstStyle/>
              <a:p>
                <a:pPr>
                  <a:defRPr sz="1000" b="0" baseline="0">
                    <a:solidFill>
                      <a:srgbClr val="000000"/>
                    </a:solidFill>
                    <a:latin typeface="Arimo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</c:dLbls>
          <c:cat>
            <c:strLit>
              <c:ptCount val="5"/>
              <c:pt idx="0">
                <c:v>Неосторожное обращение с огнем </c:v>
              </c:pt>
              <c:pt idx="1">
                <c:v>Электрооборудование </c:v>
              </c:pt>
              <c:pt idx="2">
                <c:v>Печное отопление</c:v>
              </c:pt>
              <c:pt idx="3">
                <c:v>НПЭ транспорта</c:v>
              </c:pt>
              <c:pt idx="4">
                <c:v>Прочие причины</c:v>
              </c:pt>
            </c:strLit>
          </c:cat>
          <c:val>
            <c:numLit>
              <c:formatCode>General</c:formatCode>
              <c:ptCount val="5"/>
              <c:pt idx="0">
                <c:v>17</c:v>
              </c:pt>
              <c:pt idx="1">
                <c:v>4</c:v>
              </c:pt>
              <c:pt idx="2">
                <c:v>7</c:v>
              </c:pt>
              <c:pt idx="3">
                <c:v>2</c:v>
              </c:pt>
              <c:pt idx="4">
                <c:v>3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IVAN</dc:creator>
  <cp:lastModifiedBy>EVGEN</cp:lastModifiedBy>
  <cp:revision>2</cp:revision>
  <cp:lastPrinted>2025-04-04T20:35:00Z</cp:lastPrinted>
  <dcterms:created xsi:type="dcterms:W3CDTF">2025-04-10T09:40:00Z</dcterms:created>
  <dcterms:modified xsi:type="dcterms:W3CDTF">2025-04-10T09:40:00Z</dcterms:modified>
</cp:coreProperties>
</file>